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1103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35"/>
        <w:gridCol w:w="6480"/>
        <w:gridCol w:w="630"/>
        <w:gridCol w:w="901"/>
        <w:gridCol w:w="2480"/>
        <w:gridCol w:w="6"/>
      </w:tblGrid>
      <w:tr w:rsidR="00D960DB" w:rsidRPr="00840C0F" w14:paraId="22009F71" w14:textId="77777777" w:rsidTr="00D960DB">
        <w:tc>
          <w:tcPr>
            <w:tcW w:w="11032" w:type="dxa"/>
            <w:gridSpan w:val="6"/>
          </w:tcPr>
          <w:p w14:paraId="03F23C02" w14:textId="77777777" w:rsidR="00D960DB" w:rsidRPr="00840C0F" w:rsidRDefault="00D960DB" w:rsidP="008076FD">
            <w:pPr>
              <w:jc w:val="center"/>
              <w:rPr>
                <w:rFonts w:ascii="Open Sans" w:hAnsi="Open Sans" w:cs="Open Sans"/>
                <w:b/>
                <w:bCs/>
              </w:rPr>
            </w:pPr>
            <w:r w:rsidRPr="00840C0F">
              <w:rPr>
                <w:rFonts w:ascii="Open Sans" w:hAnsi="Open Sans" w:cs="Open Sans"/>
                <w:b/>
                <w:bCs/>
              </w:rPr>
              <w:t>Noah Sanz</w:t>
            </w:r>
          </w:p>
          <w:p w14:paraId="7EF4B93E" w14:textId="77777777" w:rsidR="00D960DB" w:rsidRPr="00840C0F" w:rsidRDefault="00D960DB" w:rsidP="008076FD">
            <w:pPr>
              <w:jc w:val="center"/>
              <w:rPr>
                <w:rFonts w:ascii="Open Sans" w:hAnsi="Open Sans" w:cs="Open Sans"/>
              </w:rPr>
            </w:pPr>
            <w:r w:rsidRPr="00840C0F">
              <w:rPr>
                <w:rFonts w:ascii="Open Sans" w:hAnsi="Open Sans" w:cs="Open Sans"/>
              </w:rPr>
              <w:t>6 Putney Road</w:t>
            </w:r>
            <w:r>
              <w:rPr>
                <w:rFonts w:ascii="Open Sans" w:hAnsi="Open Sans" w:cs="Open Sans"/>
              </w:rPr>
              <w:t>,</w:t>
            </w:r>
            <w:r w:rsidRPr="00840C0F">
              <w:rPr>
                <w:rFonts w:ascii="Open Sans" w:hAnsi="Open Sans" w:cs="Open Sans"/>
              </w:rPr>
              <w:t xml:space="preserve"> Baldwin Place, New York 10505</w:t>
            </w:r>
          </w:p>
          <w:p w14:paraId="0D737949" w14:textId="77777777" w:rsidR="00D960DB" w:rsidRPr="00840C0F" w:rsidRDefault="00D960DB" w:rsidP="008076FD">
            <w:pPr>
              <w:jc w:val="center"/>
              <w:rPr>
                <w:rFonts w:ascii="Open Sans" w:hAnsi="Open Sans" w:cs="Open Sans"/>
              </w:rPr>
            </w:pPr>
            <w:r w:rsidRPr="00F11ECF">
              <w:rPr>
                <w:rFonts w:ascii="Open Sans" w:hAnsi="Open Sans" w:cs="Open Sans"/>
              </w:rPr>
              <w:t>sanz.noah@gmail.com</w:t>
            </w:r>
            <w:r>
              <w:rPr>
                <w:rFonts w:ascii="Open Sans" w:hAnsi="Open Sans" w:cs="Open Sans"/>
              </w:rPr>
              <w:t xml:space="preserve"> | noahsanz.com</w:t>
            </w:r>
            <w:r w:rsidRPr="00840C0F">
              <w:rPr>
                <w:rFonts w:ascii="Open Sans" w:hAnsi="Open Sans" w:cs="Open Sans"/>
              </w:rPr>
              <w:t xml:space="preserve"> | </w:t>
            </w:r>
            <w:r>
              <w:rPr>
                <w:rFonts w:ascii="Open Sans" w:hAnsi="Open Sans" w:cs="Open Sans"/>
              </w:rPr>
              <w:t xml:space="preserve">US Citizen | </w:t>
            </w:r>
            <w:r w:rsidRPr="00840C0F">
              <w:rPr>
                <w:rFonts w:ascii="Open Sans" w:hAnsi="Open Sans" w:cs="Open Sans"/>
              </w:rPr>
              <w:t>914.980.4910</w:t>
            </w:r>
          </w:p>
        </w:tc>
      </w:tr>
      <w:tr w:rsidR="00D960DB" w:rsidRPr="00840C0F" w14:paraId="03A4B66F" w14:textId="77777777" w:rsidTr="00D960DB">
        <w:tc>
          <w:tcPr>
            <w:tcW w:w="535" w:type="dxa"/>
            <w:vMerge w:val="restart"/>
            <w:textDirection w:val="btLr"/>
          </w:tcPr>
          <w:p w14:paraId="0CF17531" w14:textId="4B6878A1" w:rsidR="00D960DB" w:rsidRPr="001B31FD" w:rsidRDefault="00D960DB" w:rsidP="008076FD">
            <w:pPr>
              <w:ind w:left="113" w:right="113"/>
              <w:jc w:val="right"/>
              <w:rPr>
                <w:rFonts w:ascii="Open Sans" w:hAnsi="Open Sans" w:cs="Open Sans"/>
                <w:b/>
                <w:bCs/>
                <w:u w:val="single"/>
              </w:rPr>
            </w:pPr>
            <w:r w:rsidRPr="001B31FD">
              <w:rPr>
                <w:rFonts w:ascii="Open Sans" w:hAnsi="Open Sans" w:cs="Open Sans"/>
                <w:b/>
                <w:bCs/>
                <w:u w:val="single"/>
              </w:rPr>
              <w:t>Education</w:t>
            </w:r>
            <w:r w:rsidR="0091645C">
              <w:rPr>
                <w:rFonts w:ascii="Open Sans" w:hAnsi="Open Sans" w:cs="Open Sans"/>
                <w:b/>
                <w:bCs/>
                <w:u w:val="single"/>
              </w:rPr>
              <w:t xml:space="preserve"> </w:t>
            </w:r>
          </w:p>
          <w:p w14:paraId="262982B0" w14:textId="77777777" w:rsidR="00D960DB" w:rsidRPr="00DB2567" w:rsidRDefault="00D960DB" w:rsidP="008076FD">
            <w:pPr>
              <w:ind w:left="113" w:right="113"/>
              <w:jc w:val="right"/>
              <w:rPr>
                <w:rFonts w:ascii="Open Sans" w:hAnsi="Open Sans" w:cs="Open Sans"/>
                <w:sz w:val="6"/>
                <w:szCs w:val="6"/>
              </w:rPr>
            </w:pPr>
          </w:p>
        </w:tc>
        <w:tc>
          <w:tcPr>
            <w:tcW w:w="6480" w:type="dxa"/>
          </w:tcPr>
          <w:p w14:paraId="21876205" w14:textId="77777777" w:rsidR="00D960DB" w:rsidRPr="00DB2567" w:rsidRDefault="00D960DB" w:rsidP="008076FD">
            <w:pPr>
              <w:jc w:val="right"/>
              <w:rPr>
                <w:rFonts w:ascii="Open Sans" w:hAnsi="Open Sans" w:cs="Open Sans"/>
                <w:sz w:val="6"/>
                <w:szCs w:val="6"/>
              </w:rPr>
            </w:pPr>
          </w:p>
        </w:tc>
        <w:tc>
          <w:tcPr>
            <w:tcW w:w="630" w:type="dxa"/>
            <w:vMerge w:val="restart"/>
            <w:textDirection w:val="btLr"/>
          </w:tcPr>
          <w:p w14:paraId="61C8299D" w14:textId="77777777" w:rsidR="00D960DB" w:rsidRPr="00DB2567" w:rsidRDefault="00D960DB" w:rsidP="008076FD">
            <w:pPr>
              <w:ind w:left="113" w:right="113"/>
              <w:jc w:val="right"/>
              <w:rPr>
                <w:rFonts w:ascii="Open Sans" w:hAnsi="Open Sans" w:cs="Open Sans"/>
                <w:sz w:val="6"/>
                <w:szCs w:val="6"/>
              </w:rPr>
            </w:pPr>
            <w:r w:rsidRPr="001B31FD">
              <w:rPr>
                <w:rFonts w:ascii="Open Sans" w:hAnsi="Open Sans" w:cs="Open Sans"/>
                <w:b/>
                <w:bCs/>
                <w:u w:val="single"/>
              </w:rPr>
              <w:t>Skills</w:t>
            </w:r>
          </w:p>
        </w:tc>
        <w:tc>
          <w:tcPr>
            <w:tcW w:w="3387" w:type="dxa"/>
            <w:gridSpan w:val="3"/>
          </w:tcPr>
          <w:p w14:paraId="56F15708" w14:textId="77777777" w:rsidR="00D960DB" w:rsidRPr="00DB2567" w:rsidRDefault="00D960DB" w:rsidP="008076FD">
            <w:pPr>
              <w:jc w:val="right"/>
              <w:rPr>
                <w:rFonts w:ascii="Open Sans" w:hAnsi="Open Sans" w:cs="Open Sans"/>
                <w:sz w:val="6"/>
                <w:szCs w:val="6"/>
              </w:rPr>
            </w:pPr>
          </w:p>
        </w:tc>
      </w:tr>
      <w:tr w:rsidR="00D960DB" w:rsidRPr="00840C0F" w14:paraId="4C5FED1E" w14:textId="77777777" w:rsidTr="00D960DB">
        <w:tc>
          <w:tcPr>
            <w:tcW w:w="535" w:type="dxa"/>
            <w:vMerge/>
            <w:textDirection w:val="btLr"/>
          </w:tcPr>
          <w:p w14:paraId="60F782B6" w14:textId="77777777" w:rsidR="00D960DB" w:rsidRPr="001B31FD" w:rsidRDefault="00D960DB" w:rsidP="008076FD">
            <w:pPr>
              <w:ind w:left="113" w:right="113"/>
              <w:jc w:val="right"/>
              <w:rPr>
                <w:rFonts w:ascii="Open Sans" w:hAnsi="Open Sans" w:cs="Open Sans"/>
                <w:b/>
                <w:bCs/>
                <w:u w:val="single"/>
              </w:rPr>
            </w:pPr>
          </w:p>
        </w:tc>
        <w:tc>
          <w:tcPr>
            <w:tcW w:w="6480" w:type="dxa"/>
          </w:tcPr>
          <w:p w14:paraId="125E5769" w14:textId="77777777" w:rsidR="00D960DB" w:rsidRPr="00840C0F" w:rsidRDefault="00D960DB" w:rsidP="008076FD">
            <w:pPr>
              <w:rPr>
                <w:rFonts w:ascii="Open Sans" w:hAnsi="Open Sans" w:cs="Open Sans"/>
              </w:rPr>
            </w:pPr>
            <w:r w:rsidRPr="00840C0F">
              <w:rPr>
                <w:rFonts w:ascii="Open Sans" w:hAnsi="Open Sans" w:cs="Open Sans"/>
                <w:b/>
                <w:bCs/>
              </w:rPr>
              <w:t>Georgia Institute of Technology</w:t>
            </w:r>
            <w:r>
              <w:rPr>
                <w:rFonts w:ascii="Open Sans" w:hAnsi="Open Sans" w:cs="Open Sans"/>
                <w:b/>
                <w:bCs/>
              </w:rPr>
              <w:t xml:space="preserve">, </w:t>
            </w:r>
            <w:r w:rsidRPr="00534A37">
              <w:rPr>
                <w:rFonts w:ascii="Open Sans" w:hAnsi="Open Sans" w:cs="Open Sans"/>
                <w:b/>
                <w:bCs/>
              </w:rPr>
              <w:t>Atlanta, GA</w:t>
            </w:r>
          </w:p>
        </w:tc>
        <w:tc>
          <w:tcPr>
            <w:tcW w:w="630" w:type="dxa"/>
            <w:vMerge/>
            <w:textDirection w:val="btLr"/>
          </w:tcPr>
          <w:p w14:paraId="484C2213" w14:textId="77777777" w:rsidR="00D960DB" w:rsidRPr="00840C0F" w:rsidRDefault="00D960DB" w:rsidP="008076FD">
            <w:pPr>
              <w:ind w:left="113" w:right="113"/>
              <w:jc w:val="right"/>
              <w:rPr>
                <w:rFonts w:ascii="Open Sans" w:hAnsi="Open Sans" w:cs="Open Sans"/>
              </w:rPr>
            </w:pPr>
          </w:p>
        </w:tc>
        <w:tc>
          <w:tcPr>
            <w:tcW w:w="3387" w:type="dxa"/>
            <w:gridSpan w:val="3"/>
            <w:vMerge w:val="restart"/>
          </w:tcPr>
          <w:p w14:paraId="1918BE7E" w14:textId="24717715" w:rsidR="00D960DB" w:rsidRPr="00793CFF" w:rsidRDefault="00D960DB" w:rsidP="008076FD">
            <w:pPr>
              <w:rPr>
                <w:rFonts w:ascii="Open Sans" w:hAnsi="Open Sans" w:cs="Open Sans"/>
              </w:rPr>
            </w:pPr>
            <w:r w:rsidRPr="00793CFF">
              <w:rPr>
                <w:rFonts w:ascii="Open Sans" w:hAnsi="Open Sans" w:cs="Open Sans"/>
                <w:b/>
                <w:bCs/>
              </w:rPr>
              <w:t>Programming</w:t>
            </w:r>
            <w:r w:rsidRPr="00793CFF">
              <w:rPr>
                <w:rFonts w:ascii="Open Sans" w:hAnsi="Open Sans" w:cs="Open Sans"/>
              </w:rPr>
              <w:t>:</w:t>
            </w:r>
            <w:r>
              <w:rPr>
                <w:rFonts w:ascii="Open Sans" w:hAnsi="Open Sans" w:cs="Open Sans"/>
              </w:rPr>
              <w:t xml:space="preserve"> </w:t>
            </w:r>
            <w:r w:rsidRPr="00793CFF">
              <w:rPr>
                <w:rFonts w:ascii="Open Sans" w:hAnsi="Open Sans" w:cs="Open Sans"/>
              </w:rPr>
              <w:t>Python, MATLAB, VBA, Google Script, C, C++, Arduino</w:t>
            </w:r>
          </w:p>
          <w:p w14:paraId="64B64600" w14:textId="7655F1D4" w:rsidR="00D960DB" w:rsidRPr="00793CFF" w:rsidRDefault="00D960DB" w:rsidP="008076FD">
            <w:pPr>
              <w:rPr>
                <w:rFonts w:ascii="Open Sans" w:hAnsi="Open Sans" w:cs="Open Sans"/>
              </w:rPr>
            </w:pPr>
            <w:r w:rsidRPr="00793CFF">
              <w:rPr>
                <w:rFonts w:ascii="Open Sans" w:hAnsi="Open Sans" w:cs="Open Sans"/>
                <w:b/>
                <w:bCs/>
              </w:rPr>
              <w:t>Software</w:t>
            </w:r>
            <w:r w:rsidRPr="00793CFF">
              <w:rPr>
                <w:rFonts w:ascii="Open Sans" w:hAnsi="Open Sans" w:cs="Open Sans"/>
              </w:rPr>
              <w:t>:</w:t>
            </w:r>
            <w:r>
              <w:rPr>
                <w:rFonts w:ascii="Open Sans" w:hAnsi="Open Sans" w:cs="Open Sans"/>
              </w:rPr>
              <w:t xml:space="preserve"> </w:t>
            </w:r>
            <w:r w:rsidRPr="00793CFF">
              <w:rPr>
                <w:rFonts w:ascii="Open Sans" w:hAnsi="Open Sans" w:cs="Open Sans"/>
              </w:rPr>
              <w:t>SolidWorks, Fusion 360, Excel, PowerPoint, Word, Tableau</w:t>
            </w:r>
          </w:p>
          <w:p w14:paraId="38DB321E" w14:textId="4AEFA0D0" w:rsidR="00D960DB" w:rsidRPr="00793CFF" w:rsidRDefault="00D960DB" w:rsidP="008076FD">
            <w:pPr>
              <w:rPr>
                <w:rFonts w:ascii="Open Sans" w:hAnsi="Open Sans" w:cs="Open Sans"/>
              </w:rPr>
            </w:pPr>
            <w:r w:rsidRPr="00793CFF">
              <w:rPr>
                <w:rFonts w:ascii="Open Sans" w:hAnsi="Open Sans" w:cs="Open Sans"/>
                <w:b/>
                <w:bCs/>
              </w:rPr>
              <w:t>Design</w:t>
            </w:r>
            <w:r w:rsidRPr="00793CFF">
              <w:rPr>
                <w:rFonts w:ascii="Open Sans" w:hAnsi="Open Sans" w:cs="Open Sans"/>
              </w:rPr>
              <w:t>:</w:t>
            </w:r>
            <w:r>
              <w:rPr>
                <w:rFonts w:ascii="Open Sans" w:hAnsi="Open Sans" w:cs="Open Sans"/>
              </w:rPr>
              <w:t xml:space="preserve"> </w:t>
            </w:r>
            <w:r w:rsidRPr="00793CFF">
              <w:rPr>
                <w:rFonts w:ascii="Open Sans" w:hAnsi="Open Sans" w:cs="Open Sans"/>
              </w:rPr>
              <w:t>Product Design, Mechanical Design, Quality Test Design</w:t>
            </w:r>
          </w:p>
          <w:p w14:paraId="4AAF9124" w14:textId="2178D977" w:rsidR="00D960DB" w:rsidRPr="00840C0F" w:rsidRDefault="00D960DB" w:rsidP="00D960DB">
            <w:pPr>
              <w:rPr>
                <w:rFonts w:ascii="Open Sans" w:hAnsi="Open Sans" w:cs="Open Sans"/>
              </w:rPr>
            </w:pPr>
            <w:r w:rsidRPr="00793CFF">
              <w:rPr>
                <w:rFonts w:ascii="Open Sans" w:hAnsi="Open Sans" w:cs="Open Sans"/>
                <w:b/>
                <w:bCs/>
              </w:rPr>
              <w:t>Other</w:t>
            </w:r>
            <w:r w:rsidRPr="00793CFF">
              <w:rPr>
                <w:rFonts w:ascii="Open Sans" w:hAnsi="Open Sans" w:cs="Open Sans"/>
              </w:rPr>
              <w:t>:</w:t>
            </w:r>
            <w:r>
              <w:rPr>
                <w:rFonts w:ascii="Open Sans" w:hAnsi="Open Sans" w:cs="Open Sans"/>
              </w:rPr>
              <w:t xml:space="preserve"> </w:t>
            </w:r>
            <w:r w:rsidRPr="00793CFF">
              <w:rPr>
                <w:rFonts w:ascii="Open Sans" w:hAnsi="Open Sans" w:cs="Open Sans"/>
              </w:rPr>
              <w:t>Project Management</w:t>
            </w:r>
          </w:p>
        </w:tc>
      </w:tr>
      <w:tr w:rsidR="00D960DB" w:rsidRPr="00840C0F" w14:paraId="56808213" w14:textId="77777777" w:rsidTr="00D960DB">
        <w:tc>
          <w:tcPr>
            <w:tcW w:w="535" w:type="dxa"/>
            <w:vMerge/>
          </w:tcPr>
          <w:p w14:paraId="171865FA" w14:textId="77777777" w:rsidR="00D960DB" w:rsidRPr="001B31FD" w:rsidRDefault="00D960DB" w:rsidP="008076FD">
            <w:pPr>
              <w:rPr>
                <w:rFonts w:ascii="Open Sans" w:hAnsi="Open Sans" w:cs="Open Sans"/>
                <w:b/>
                <w:bCs/>
                <w:u w:val="single"/>
              </w:rPr>
            </w:pPr>
          </w:p>
        </w:tc>
        <w:tc>
          <w:tcPr>
            <w:tcW w:w="6480" w:type="dxa"/>
          </w:tcPr>
          <w:p w14:paraId="1E0CE5A3" w14:textId="77777777" w:rsidR="00D960DB" w:rsidRPr="00793CFF" w:rsidRDefault="00D960DB" w:rsidP="008076FD">
            <w:pPr>
              <w:rPr>
                <w:rFonts w:ascii="Open Sans" w:hAnsi="Open Sans" w:cs="Open Sans"/>
              </w:rPr>
            </w:pPr>
            <w:r w:rsidRPr="00793CFF">
              <w:rPr>
                <w:rFonts w:ascii="Open Sans" w:hAnsi="Open Sans" w:cs="Open Sans"/>
              </w:rPr>
              <w:t>Candidate for Bachelor of Science in Mechanical Engineering</w:t>
            </w:r>
          </w:p>
          <w:p w14:paraId="6FD2726F" w14:textId="77777777" w:rsidR="00D960DB" w:rsidRPr="00793CFF" w:rsidRDefault="00D960DB" w:rsidP="008076FD">
            <w:pPr>
              <w:rPr>
                <w:rFonts w:ascii="Open Sans" w:hAnsi="Open Sans" w:cs="Open Sans"/>
              </w:rPr>
            </w:pPr>
            <w:r w:rsidRPr="00793CFF">
              <w:rPr>
                <w:rFonts w:ascii="Open Sans" w:hAnsi="Open Sans" w:cs="Open Sans"/>
              </w:rPr>
              <w:t>Expected Graduation: December 2023</w:t>
            </w:r>
          </w:p>
          <w:p w14:paraId="777CEC74" w14:textId="77777777" w:rsidR="00D960DB" w:rsidRPr="00793CFF" w:rsidRDefault="00D960DB" w:rsidP="008076FD">
            <w:pPr>
              <w:rPr>
                <w:rFonts w:ascii="Open Sans" w:hAnsi="Open Sans" w:cs="Open Sans"/>
              </w:rPr>
            </w:pPr>
            <w:r w:rsidRPr="00793CFF">
              <w:rPr>
                <w:rFonts w:ascii="Open Sans" w:hAnsi="Open Sans" w:cs="Open Sans"/>
              </w:rPr>
              <w:t>Cumulative GPA: 3.74</w:t>
            </w:r>
          </w:p>
          <w:p w14:paraId="0E882025" w14:textId="77777777" w:rsidR="00D960DB" w:rsidRPr="00CC551F" w:rsidRDefault="00D960DB" w:rsidP="008076FD">
            <w:pPr>
              <w:rPr>
                <w:rFonts w:ascii="Open Sans" w:hAnsi="Open Sans" w:cs="Open Sans"/>
                <w:sz w:val="20"/>
                <w:szCs w:val="20"/>
              </w:rPr>
            </w:pPr>
            <w:r w:rsidRPr="00793CFF">
              <w:rPr>
                <w:rFonts w:ascii="Open Sans" w:hAnsi="Open Sans" w:cs="Open Sans"/>
              </w:rPr>
              <w:t>Recipient of Faculty Honors and member of Dean’s List</w:t>
            </w:r>
          </w:p>
        </w:tc>
        <w:tc>
          <w:tcPr>
            <w:tcW w:w="630" w:type="dxa"/>
            <w:vMerge/>
            <w:textDirection w:val="btLr"/>
          </w:tcPr>
          <w:p w14:paraId="1745E49D" w14:textId="77777777" w:rsidR="00D960DB" w:rsidRPr="00840C0F" w:rsidRDefault="00D960DB" w:rsidP="008076FD">
            <w:pPr>
              <w:ind w:left="113" w:right="113"/>
              <w:jc w:val="right"/>
              <w:rPr>
                <w:rFonts w:ascii="Open Sans" w:hAnsi="Open Sans" w:cs="Open Sans"/>
              </w:rPr>
            </w:pPr>
          </w:p>
        </w:tc>
        <w:tc>
          <w:tcPr>
            <w:tcW w:w="3387" w:type="dxa"/>
            <w:gridSpan w:val="3"/>
            <w:vMerge/>
          </w:tcPr>
          <w:p w14:paraId="6F602536" w14:textId="77777777" w:rsidR="00D960DB" w:rsidRPr="00840C0F" w:rsidRDefault="00D960DB" w:rsidP="008076FD">
            <w:pPr>
              <w:rPr>
                <w:rFonts w:ascii="Open Sans" w:hAnsi="Open Sans" w:cs="Open Sans"/>
              </w:rPr>
            </w:pPr>
          </w:p>
        </w:tc>
      </w:tr>
      <w:tr w:rsidR="00D960DB" w:rsidRPr="00C72E50" w14:paraId="3A3E2935" w14:textId="77777777" w:rsidTr="00D960DB">
        <w:trPr>
          <w:cantSplit/>
          <w:trHeight w:val="79"/>
        </w:trPr>
        <w:tc>
          <w:tcPr>
            <w:tcW w:w="535" w:type="dxa"/>
            <w:vMerge w:val="restart"/>
            <w:textDirection w:val="btLr"/>
          </w:tcPr>
          <w:p w14:paraId="1B0AFDAE" w14:textId="523F9251" w:rsidR="00D960DB" w:rsidRPr="00C72E50" w:rsidRDefault="00D960DB" w:rsidP="008076FD">
            <w:pPr>
              <w:ind w:left="113" w:right="113"/>
              <w:jc w:val="right"/>
              <w:rPr>
                <w:rFonts w:ascii="Open Sans" w:hAnsi="Open Sans" w:cs="Open Sans"/>
                <w:b/>
                <w:bCs/>
                <w:sz w:val="6"/>
                <w:szCs w:val="6"/>
                <w:u w:val="single"/>
              </w:rPr>
            </w:pPr>
            <w:r w:rsidRPr="001B31FD">
              <w:rPr>
                <w:rFonts w:ascii="Open Sans" w:hAnsi="Open Sans" w:cs="Open Sans"/>
                <w:b/>
                <w:bCs/>
                <w:u w:val="single"/>
              </w:rPr>
              <w:t>Leadership</w:t>
            </w:r>
            <w:r w:rsidR="0091645C">
              <w:rPr>
                <w:rFonts w:ascii="Open Sans" w:hAnsi="Open Sans" w:cs="Open Sans"/>
                <w:b/>
                <w:bCs/>
                <w:u w:val="single"/>
              </w:rPr>
              <w:t xml:space="preserve">  </w:t>
            </w:r>
          </w:p>
        </w:tc>
        <w:tc>
          <w:tcPr>
            <w:tcW w:w="6480" w:type="dxa"/>
          </w:tcPr>
          <w:p w14:paraId="0FB2A979" w14:textId="77777777" w:rsidR="00D960DB" w:rsidRPr="00C72E50" w:rsidRDefault="00D960DB" w:rsidP="008076FD">
            <w:pPr>
              <w:rPr>
                <w:rFonts w:ascii="Open Sans" w:hAnsi="Open Sans" w:cs="Open Sans"/>
                <w:b/>
                <w:bCs/>
                <w:sz w:val="6"/>
                <w:szCs w:val="6"/>
              </w:rPr>
            </w:pPr>
          </w:p>
        </w:tc>
        <w:tc>
          <w:tcPr>
            <w:tcW w:w="630" w:type="dxa"/>
            <w:vMerge/>
          </w:tcPr>
          <w:p w14:paraId="541C2F58" w14:textId="77777777" w:rsidR="00D960DB" w:rsidRPr="00C72E50" w:rsidRDefault="00D960DB" w:rsidP="008076FD">
            <w:pPr>
              <w:rPr>
                <w:rFonts w:ascii="Open Sans" w:hAnsi="Open Sans" w:cs="Open Sans"/>
                <w:b/>
                <w:bCs/>
                <w:sz w:val="6"/>
                <w:szCs w:val="6"/>
              </w:rPr>
            </w:pPr>
          </w:p>
        </w:tc>
        <w:tc>
          <w:tcPr>
            <w:tcW w:w="3387" w:type="dxa"/>
            <w:gridSpan w:val="3"/>
            <w:vMerge/>
          </w:tcPr>
          <w:p w14:paraId="58511923" w14:textId="77777777" w:rsidR="00D960DB" w:rsidRPr="00C72E50" w:rsidRDefault="00D960DB" w:rsidP="008076FD">
            <w:pPr>
              <w:rPr>
                <w:rFonts w:ascii="Open Sans" w:hAnsi="Open Sans" w:cs="Open Sans"/>
                <w:b/>
                <w:bCs/>
                <w:sz w:val="6"/>
                <w:szCs w:val="6"/>
              </w:rPr>
            </w:pPr>
          </w:p>
        </w:tc>
      </w:tr>
      <w:tr w:rsidR="00D960DB" w:rsidRPr="00840C0F" w14:paraId="0FC149AB" w14:textId="77777777" w:rsidTr="00D960DB">
        <w:trPr>
          <w:cantSplit/>
          <w:trHeight w:val="1475"/>
        </w:trPr>
        <w:tc>
          <w:tcPr>
            <w:tcW w:w="535" w:type="dxa"/>
            <w:vMerge/>
            <w:textDirection w:val="btLr"/>
          </w:tcPr>
          <w:p w14:paraId="7DBFB9C1" w14:textId="77777777" w:rsidR="00D960DB" w:rsidRPr="001B31FD" w:rsidRDefault="00D960DB" w:rsidP="008076FD">
            <w:pPr>
              <w:ind w:left="113" w:right="113"/>
              <w:jc w:val="right"/>
              <w:rPr>
                <w:rFonts w:ascii="Open Sans" w:hAnsi="Open Sans" w:cs="Open Sans"/>
                <w:b/>
                <w:bCs/>
                <w:u w:val="single"/>
              </w:rPr>
            </w:pPr>
          </w:p>
        </w:tc>
        <w:tc>
          <w:tcPr>
            <w:tcW w:w="6480" w:type="dxa"/>
          </w:tcPr>
          <w:p w14:paraId="3F4629B5" w14:textId="108241A2" w:rsidR="00D960DB" w:rsidRPr="00793CFF" w:rsidRDefault="00D960DB" w:rsidP="008076FD">
            <w:pPr>
              <w:rPr>
                <w:rFonts w:ascii="Open Sans" w:hAnsi="Open Sans" w:cs="Open Sans"/>
                <w:b/>
                <w:bCs/>
              </w:rPr>
            </w:pPr>
            <w:r w:rsidRPr="00793CFF">
              <w:rPr>
                <w:rFonts w:ascii="Open Sans" w:hAnsi="Open Sans" w:cs="Open Sans"/>
                <w:b/>
                <w:bCs/>
              </w:rPr>
              <w:t>Eagle Scout</w:t>
            </w:r>
          </w:p>
          <w:p w14:paraId="01BAE3B1" w14:textId="77777777" w:rsidR="00D960DB" w:rsidRDefault="00D960DB" w:rsidP="008076FD">
            <w:pPr>
              <w:rPr>
                <w:rFonts w:ascii="Open Sans" w:hAnsi="Open Sans" w:cs="Open Sans"/>
              </w:rPr>
            </w:pPr>
            <w:r w:rsidRPr="00793CFF">
              <w:rPr>
                <w:rFonts w:ascii="Open Sans" w:hAnsi="Open Sans" w:cs="Open Sans"/>
              </w:rPr>
              <w:t>Boy Scouts of America, Somers Troop 376</w:t>
            </w:r>
          </w:p>
          <w:p w14:paraId="28C7B548" w14:textId="77777777" w:rsidR="00D960DB" w:rsidRPr="00D960DB" w:rsidRDefault="00D960DB" w:rsidP="008076FD">
            <w:pPr>
              <w:rPr>
                <w:rFonts w:ascii="Open Sans" w:hAnsi="Open Sans" w:cs="Open Sans"/>
                <w:sz w:val="6"/>
                <w:szCs w:val="6"/>
              </w:rPr>
            </w:pPr>
          </w:p>
          <w:p w14:paraId="79BDB618" w14:textId="77777777" w:rsidR="00D960DB" w:rsidRPr="00793CFF" w:rsidRDefault="00D960DB" w:rsidP="008076FD">
            <w:pPr>
              <w:rPr>
                <w:rFonts w:ascii="Open Sans" w:hAnsi="Open Sans" w:cs="Open Sans"/>
                <w:b/>
                <w:bCs/>
              </w:rPr>
            </w:pPr>
            <w:r w:rsidRPr="00793CFF">
              <w:rPr>
                <w:rFonts w:ascii="Open Sans" w:hAnsi="Open Sans" w:cs="Open Sans"/>
                <w:b/>
                <w:bCs/>
              </w:rPr>
              <w:t xml:space="preserve">Vice President, House Manager, </w:t>
            </w:r>
            <w:r>
              <w:rPr>
                <w:rFonts w:ascii="Open Sans" w:hAnsi="Open Sans" w:cs="Open Sans"/>
                <w:b/>
                <w:bCs/>
              </w:rPr>
              <w:t>and</w:t>
            </w:r>
            <w:r w:rsidRPr="00793CFF">
              <w:rPr>
                <w:rFonts w:ascii="Open Sans" w:hAnsi="Open Sans" w:cs="Open Sans"/>
                <w:b/>
                <w:bCs/>
              </w:rPr>
              <w:t xml:space="preserve"> Brotherhood Chair</w:t>
            </w:r>
          </w:p>
          <w:p w14:paraId="7DFFAAC8" w14:textId="77777777" w:rsidR="00D960DB" w:rsidRPr="00464073" w:rsidRDefault="00D960DB" w:rsidP="008076FD">
            <w:pPr>
              <w:rPr>
                <w:rFonts w:ascii="Open Sans" w:hAnsi="Open Sans" w:cs="Open Sans"/>
              </w:rPr>
            </w:pPr>
            <w:r w:rsidRPr="00793CFF">
              <w:rPr>
                <w:rFonts w:ascii="Open Sans" w:hAnsi="Open Sans" w:cs="Open Sans"/>
              </w:rPr>
              <w:t>Delta Tau Delta, Gamma Psi Chapter</w:t>
            </w:r>
          </w:p>
        </w:tc>
        <w:tc>
          <w:tcPr>
            <w:tcW w:w="630" w:type="dxa"/>
            <w:vMerge/>
          </w:tcPr>
          <w:p w14:paraId="5447B95C" w14:textId="77777777" w:rsidR="00D960DB" w:rsidRPr="00840C0F" w:rsidRDefault="00D960DB" w:rsidP="008076FD">
            <w:pPr>
              <w:rPr>
                <w:rFonts w:ascii="Open Sans" w:hAnsi="Open Sans" w:cs="Open Sans"/>
              </w:rPr>
            </w:pPr>
          </w:p>
        </w:tc>
        <w:tc>
          <w:tcPr>
            <w:tcW w:w="3387" w:type="dxa"/>
            <w:gridSpan w:val="3"/>
            <w:vMerge/>
          </w:tcPr>
          <w:p w14:paraId="5E9EDE41" w14:textId="77777777" w:rsidR="00D960DB" w:rsidRPr="00840C0F" w:rsidRDefault="00D960DB" w:rsidP="008076FD">
            <w:pPr>
              <w:rPr>
                <w:rFonts w:ascii="Open Sans" w:hAnsi="Open Sans" w:cs="Open Sans"/>
              </w:rPr>
            </w:pPr>
          </w:p>
        </w:tc>
      </w:tr>
      <w:tr w:rsidR="00D960DB" w:rsidRPr="00840C0F" w14:paraId="4D291FEB" w14:textId="77777777" w:rsidTr="00D960DB">
        <w:trPr>
          <w:trHeight w:val="58"/>
        </w:trPr>
        <w:tc>
          <w:tcPr>
            <w:tcW w:w="535" w:type="dxa"/>
            <w:vMerge w:val="restart"/>
            <w:textDirection w:val="btLr"/>
          </w:tcPr>
          <w:p w14:paraId="0533E7BC" w14:textId="77777777" w:rsidR="00D960DB" w:rsidRPr="001B31FD" w:rsidRDefault="00D960DB" w:rsidP="008076FD">
            <w:pPr>
              <w:ind w:left="113" w:right="113"/>
              <w:jc w:val="right"/>
              <w:rPr>
                <w:rFonts w:ascii="Open Sans" w:hAnsi="Open Sans" w:cs="Open Sans"/>
                <w:b/>
                <w:bCs/>
                <w:sz w:val="6"/>
                <w:szCs w:val="6"/>
                <w:u w:val="single"/>
              </w:rPr>
            </w:pPr>
            <w:r w:rsidRPr="001B31FD">
              <w:rPr>
                <w:rFonts w:ascii="Open Sans" w:hAnsi="Open Sans" w:cs="Open Sans"/>
                <w:b/>
                <w:bCs/>
                <w:u w:val="single"/>
              </w:rPr>
              <w:t>Employment</w:t>
            </w:r>
          </w:p>
        </w:tc>
        <w:tc>
          <w:tcPr>
            <w:tcW w:w="10497" w:type="dxa"/>
            <w:gridSpan w:val="5"/>
          </w:tcPr>
          <w:p w14:paraId="334DDD22" w14:textId="77777777" w:rsidR="00D960DB" w:rsidRPr="00D960DB" w:rsidRDefault="00D960DB" w:rsidP="008076FD">
            <w:pPr>
              <w:rPr>
                <w:rFonts w:ascii="Open Sans" w:hAnsi="Open Sans" w:cs="Open Sans"/>
                <w:b/>
                <w:bCs/>
                <w:sz w:val="10"/>
                <w:szCs w:val="10"/>
                <w:u w:val="single"/>
              </w:rPr>
            </w:pPr>
          </w:p>
        </w:tc>
      </w:tr>
      <w:tr w:rsidR="00D960DB" w:rsidRPr="00840C0F" w14:paraId="5FBC1E63" w14:textId="77777777" w:rsidTr="00D960DB">
        <w:trPr>
          <w:cantSplit/>
          <w:trHeight w:val="269"/>
        </w:trPr>
        <w:tc>
          <w:tcPr>
            <w:tcW w:w="535" w:type="dxa"/>
            <w:vMerge/>
            <w:textDirection w:val="btLr"/>
          </w:tcPr>
          <w:p w14:paraId="3DBA478C" w14:textId="77777777" w:rsidR="00D960DB" w:rsidRPr="001B31FD" w:rsidRDefault="00D960DB" w:rsidP="008076FD">
            <w:pPr>
              <w:ind w:left="113" w:right="113"/>
              <w:jc w:val="right"/>
              <w:rPr>
                <w:rFonts w:ascii="Open Sans" w:hAnsi="Open Sans" w:cs="Open Sans"/>
                <w:b/>
                <w:bCs/>
                <w:u w:val="single"/>
              </w:rPr>
            </w:pPr>
          </w:p>
        </w:tc>
        <w:tc>
          <w:tcPr>
            <w:tcW w:w="8011" w:type="dxa"/>
            <w:gridSpan w:val="3"/>
          </w:tcPr>
          <w:p w14:paraId="2E57A326" w14:textId="77777777" w:rsidR="00D960DB" w:rsidRPr="00CA1899" w:rsidRDefault="00D960DB" w:rsidP="008076FD">
            <w:pPr>
              <w:rPr>
                <w:rFonts w:ascii="Open Sans" w:hAnsi="Open Sans" w:cs="Open Sans"/>
              </w:rPr>
            </w:pPr>
            <w:r>
              <w:rPr>
                <w:rFonts w:ascii="Open Sans" w:hAnsi="Open Sans" w:cs="Open Sans"/>
                <w:b/>
                <w:bCs/>
              </w:rPr>
              <w:t>Product Engineer</w:t>
            </w:r>
            <w:r w:rsidRPr="00534A37">
              <w:rPr>
                <w:rFonts w:ascii="Open Sans" w:hAnsi="Open Sans" w:cs="Open Sans"/>
                <w:b/>
                <w:bCs/>
              </w:rPr>
              <w:t xml:space="preserve"> Co-op</w:t>
            </w:r>
            <w:r>
              <w:rPr>
                <w:rFonts w:ascii="Open Sans" w:hAnsi="Open Sans" w:cs="Open Sans"/>
                <w:b/>
                <w:bCs/>
              </w:rPr>
              <w:t>, Levolor, Sandy Springs</w:t>
            </w:r>
            <w:r w:rsidRPr="00534A37">
              <w:rPr>
                <w:rFonts w:ascii="Open Sans" w:hAnsi="Open Sans" w:cs="Open Sans"/>
                <w:b/>
                <w:bCs/>
              </w:rPr>
              <w:t>, GA</w:t>
            </w:r>
          </w:p>
        </w:tc>
        <w:tc>
          <w:tcPr>
            <w:tcW w:w="2486" w:type="dxa"/>
            <w:gridSpan w:val="2"/>
          </w:tcPr>
          <w:p w14:paraId="731AA1BF" w14:textId="77777777" w:rsidR="00D960DB" w:rsidRDefault="00D960DB" w:rsidP="008076FD">
            <w:pPr>
              <w:jc w:val="right"/>
              <w:rPr>
                <w:rFonts w:ascii="Open Sans" w:hAnsi="Open Sans" w:cs="Open Sans"/>
              </w:rPr>
            </w:pPr>
            <w:r>
              <w:rPr>
                <w:rFonts w:ascii="Open Sans" w:hAnsi="Open Sans" w:cs="Open Sans"/>
              </w:rPr>
              <w:t>May 2022 – May 2023</w:t>
            </w:r>
          </w:p>
        </w:tc>
      </w:tr>
      <w:tr w:rsidR="00D960DB" w:rsidRPr="00840C0F" w14:paraId="260D4686" w14:textId="77777777" w:rsidTr="00D960DB">
        <w:tc>
          <w:tcPr>
            <w:tcW w:w="535" w:type="dxa"/>
            <w:vMerge/>
          </w:tcPr>
          <w:p w14:paraId="4EE69B7F" w14:textId="77777777" w:rsidR="00D960DB" w:rsidRPr="001B31FD" w:rsidRDefault="00D960DB" w:rsidP="008076FD">
            <w:pPr>
              <w:rPr>
                <w:rFonts w:ascii="Open Sans" w:hAnsi="Open Sans" w:cs="Open Sans"/>
                <w:b/>
                <w:bCs/>
                <w:u w:val="single"/>
              </w:rPr>
            </w:pPr>
          </w:p>
        </w:tc>
        <w:tc>
          <w:tcPr>
            <w:tcW w:w="10497" w:type="dxa"/>
            <w:gridSpan w:val="5"/>
          </w:tcPr>
          <w:p w14:paraId="7FE847AD" w14:textId="77777777" w:rsidR="00D960DB" w:rsidRPr="00793CFF" w:rsidRDefault="00D960DB" w:rsidP="00D960DB">
            <w:pPr>
              <w:pStyle w:val="ListParagraph"/>
              <w:numPr>
                <w:ilvl w:val="0"/>
                <w:numId w:val="2"/>
              </w:numPr>
              <w:rPr>
                <w:rFonts w:ascii="Open Sans" w:hAnsi="Open Sans" w:cs="Open Sans"/>
              </w:rPr>
            </w:pPr>
            <w:r w:rsidRPr="00793CFF">
              <w:rPr>
                <w:rFonts w:ascii="Open Sans" w:hAnsi="Open Sans" w:cs="Open Sans"/>
              </w:rPr>
              <w:t>Developed adjustable, injection moldable handle adaptable to the wide variety of fabrics in the natural shade product line, to be produced at a volume of 66,000 units annually.</w:t>
            </w:r>
          </w:p>
          <w:p w14:paraId="0D12B14F" w14:textId="77777777" w:rsidR="00D960DB" w:rsidRPr="00793CFF" w:rsidRDefault="00D960DB" w:rsidP="00D960DB">
            <w:pPr>
              <w:pStyle w:val="ListParagraph"/>
              <w:numPr>
                <w:ilvl w:val="0"/>
                <w:numId w:val="2"/>
              </w:numPr>
              <w:rPr>
                <w:rFonts w:ascii="Open Sans" w:hAnsi="Open Sans" w:cs="Open Sans"/>
              </w:rPr>
            </w:pPr>
            <w:r w:rsidRPr="00793CFF">
              <w:rPr>
                <w:rFonts w:ascii="Open Sans" w:hAnsi="Open Sans" w:cs="Open Sans"/>
              </w:rPr>
              <w:t>Created SolidWorks assemblies incorporating all control systems, styles, and custom features across seven product lines, used to make automated installation guides on the BILT app.</w:t>
            </w:r>
          </w:p>
          <w:p w14:paraId="2128E81C" w14:textId="77777777" w:rsidR="00D960DB" w:rsidRPr="00793CFF" w:rsidRDefault="00D960DB" w:rsidP="00D960DB">
            <w:pPr>
              <w:pStyle w:val="ListParagraph"/>
              <w:numPr>
                <w:ilvl w:val="0"/>
                <w:numId w:val="2"/>
              </w:numPr>
              <w:rPr>
                <w:rFonts w:ascii="Open Sans" w:hAnsi="Open Sans" w:cs="Open Sans"/>
              </w:rPr>
            </w:pPr>
            <w:r w:rsidRPr="00793CFF">
              <w:rPr>
                <w:rFonts w:ascii="Open Sans" w:hAnsi="Open Sans" w:cs="Open Sans"/>
              </w:rPr>
              <w:t xml:space="preserve">Designed repeatable and replicable tests to determine the energy efficiency of blinds and shades and to analyze the durability of blind slats. </w:t>
            </w:r>
          </w:p>
          <w:p w14:paraId="395D4DCB" w14:textId="77777777" w:rsidR="00D960DB" w:rsidRPr="00793CFF" w:rsidRDefault="00D960DB" w:rsidP="00D960DB">
            <w:pPr>
              <w:pStyle w:val="ListParagraph"/>
              <w:numPr>
                <w:ilvl w:val="0"/>
                <w:numId w:val="2"/>
              </w:numPr>
              <w:rPr>
                <w:rFonts w:ascii="Open Sans" w:hAnsi="Open Sans" w:cs="Open Sans"/>
              </w:rPr>
            </w:pPr>
            <w:r w:rsidRPr="00793CFF">
              <w:rPr>
                <w:rFonts w:ascii="Open Sans" w:hAnsi="Open Sans" w:cs="Open Sans"/>
              </w:rPr>
              <w:t>Established a testing and data analysis procedure for characterizing force versus displacement of cellular shades to determine the proper weights and motors needed.</w:t>
            </w:r>
          </w:p>
          <w:p w14:paraId="4B7E337F" w14:textId="77777777" w:rsidR="00D960DB" w:rsidRPr="00793CFF" w:rsidRDefault="00D960DB" w:rsidP="00D960DB">
            <w:pPr>
              <w:pStyle w:val="ListParagraph"/>
              <w:numPr>
                <w:ilvl w:val="0"/>
                <w:numId w:val="2"/>
              </w:numPr>
              <w:rPr>
                <w:rFonts w:ascii="Open Sans" w:hAnsi="Open Sans" w:cs="Open Sans"/>
              </w:rPr>
            </w:pPr>
            <w:r w:rsidRPr="00793CFF">
              <w:rPr>
                <w:rFonts w:ascii="Open Sans" w:hAnsi="Open Sans" w:cs="Open Sans"/>
              </w:rPr>
              <w:t>Automated testing procedures by programming a servo motor to simulate human operation of a bead-chain loop.</w:t>
            </w:r>
          </w:p>
          <w:p w14:paraId="438A654E" w14:textId="77777777" w:rsidR="00D960DB" w:rsidRPr="00793CFF" w:rsidRDefault="00D960DB" w:rsidP="00D960DB">
            <w:pPr>
              <w:pStyle w:val="ListParagraph"/>
              <w:numPr>
                <w:ilvl w:val="0"/>
                <w:numId w:val="2"/>
              </w:numPr>
              <w:rPr>
                <w:rFonts w:ascii="Open Sans" w:hAnsi="Open Sans" w:cs="Open Sans"/>
              </w:rPr>
            </w:pPr>
            <w:r w:rsidRPr="00793CFF">
              <w:rPr>
                <w:rFonts w:ascii="Open Sans" w:hAnsi="Open Sans" w:cs="Open Sans"/>
              </w:rPr>
              <w:t>Developed and refined concepts for a low-cost, easy-to-install part for an upcoming product line that enables the user to resize the product as needed.</w:t>
            </w:r>
          </w:p>
          <w:p w14:paraId="2F5D36D5" w14:textId="77777777" w:rsidR="00D960DB" w:rsidRDefault="00D960DB" w:rsidP="00D960DB">
            <w:pPr>
              <w:pStyle w:val="ListParagraph"/>
              <w:numPr>
                <w:ilvl w:val="0"/>
                <w:numId w:val="2"/>
              </w:numPr>
              <w:rPr>
                <w:rFonts w:ascii="Open Sans" w:hAnsi="Open Sans" w:cs="Open Sans"/>
              </w:rPr>
            </w:pPr>
            <w:r w:rsidRPr="00793CFF">
              <w:rPr>
                <w:rFonts w:ascii="Open Sans" w:hAnsi="Open Sans" w:cs="Open Sans"/>
              </w:rPr>
              <w:t>Created a precise mathematical model of the stress distribution within a part to establish parameters for its use in certain products and to eliminate product failures.</w:t>
            </w:r>
          </w:p>
        </w:tc>
      </w:tr>
      <w:tr w:rsidR="00D960DB" w:rsidRPr="005A216A" w14:paraId="6C8BA117" w14:textId="77777777" w:rsidTr="00D960DB">
        <w:trPr>
          <w:gridAfter w:val="1"/>
          <w:wAfter w:w="6" w:type="dxa"/>
        </w:trPr>
        <w:tc>
          <w:tcPr>
            <w:tcW w:w="535" w:type="dxa"/>
          </w:tcPr>
          <w:p w14:paraId="66573E8C" w14:textId="042A37DB" w:rsidR="00D960DB" w:rsidRPr="005A216A" w:rsidRDefault="00D960DB" w:rsidP="008076FD">
            <w:pPr>
              <w:rPr>
                <w:rFonts w:ascii="Open Sans" w:hAnsi="Open Sans" w:cs="Open Sans"/>
                <w:b/>
                <w:bCs/>
                <w:sz w:val="6"/>
                <w:szCs w:val="6"/>
                <w:u w:val="single"/>
              </w:rPr>
            </w:pPr>
            <w:r>
              <w:rPr>
                <w:rFonts w:ascii="Open Sans" w:hAnsi="Open Sans" w:cs="Open Sans"/>
                <w:b/>
                <w:bCs/>
                <w:sz w:val="6"/>
                <w:szCs w:val="6"/>
                <w:u w:val="single"/>
              </w:rPr>
              <w:t>3</w:t>
            </w:r>
          </w:p>
        </w:tc>
        <w:tc>
          <w:tcPr>
            <w:tcW w:w="8011" w:type="dxa"/>
            <w:gridSpan w:val="3"/>
          </w:tcPr>
          <w:p w14:paraId="3C075FB8" w14:textId="77777777" w:rsidR="00D960DB" w:rsidRPr="005A216A" w:rsidRDefault="00D960DB" w:rsidP="008076FD">
            <w:pPr>
              <w:rPr>
                <w:rFonts w:ascii="Open Sans" w:hAnsi="Open Sans" w:cs="Open Sans"/>
                <w:b/>
                <w:bCs/>
                <w:sz w:val="6"/>
                <w:szCs w:val="6"/>
              </w:rPr>
            </w:pPr>
          </w:p>
        </w:tc>
        <w:tc>
          <w:tcPr>
            <w:tcW w:w="2480" w:type="dxa"/>
          </w:tcPr>
          <w:p w14:paraId="01EFEE0A" w14:textId="77777777" w:rsidR="00D960DB" w:rsidRPr="005A216A" w:rsidRDefault="00D960DB" w:rsidP="008076FD">
            <w:pPr>
              <w:jc w:val="right"/>
              <w:rPr>
                <w:rFonts w:ascii="Open Sans" w:hAnsi="Open Sans" w:cs="Open Sans"/>
                <w:sz w:val="6"/>
                <w:szCs w:val="6"/>
              </w:rPr>
            </w:pPr>
          </w:p>
        </w:tc>
      </w:tr>
      <w:tr w:rsidR="00D960DB" w:rsidRPr="00840C0F" w14:paraId="3A1A9A82" w14:textId="77777777" w:rsidTr="00D960DB">
        <w:trPr>
          <w:gridAfter w:val="1"/>
          <w:wAfter w:w="6" w:type="dxa"/>
        </w:trPr>
        <w:tc>
          <w:tcPr>
            <w:tcW w:w="535" w:type="dxa"/>
          </w:tcPr>
          <w:p w14:paraId="43AFD6AF" w14:textId="77777777" w:rsidR="00D960DB" w:rsidRPr="001B31FD" w:rsidRDefault="00D960DB" w:rsidP="008076FD">
            <w:pPr>
              <w:rPr>
                <w:rFonts w:ascii="Open Sans" w:hAnsi="Open Sans" w:cs="Open Sans"/>
                <w:b/>
                <w:bCs/>
                <w:u w:val="single"/>
              </w:rPr>
            </w:pPr>
          </w:p>
        </w:tc>
        <w:tc>
          <w:tcPr>
            <w:tcW w:w="8011" w:type="dxa"/>
            <w:gridSpan w:val="3"/>
          </w:tcPr>
          <w:p w14:paraId="4BCBD48F" w14:textId="77777777" w:rsidR="00D960DB" w:rsidRDefault="00D960DB" w:rsidP="008076FD">
            <w:pPr>
              <w:rPr>
                <w:rFonts w:ascii="Open Sans" w:hAnsi="Open Sans" w:cs="Open Sans"/>
              </w:rPr>
            </w:pPr>
            <w:r>
              <w:rPr>
                <w:rFonts w:ascii="Open Sans" w:hAnsi="Open Sans" w:cs="Open Sans"/>
                <w:b/>
                <w:bCs/>
              </w:rPr>
              <w:t xml:space="preserve">Interiors and Special </w:t>
            </w:r>
            <w:r w:rsidRPr="00534A37">
              <w:rPr>
                <w:rFonts w:ascii="Open Sans" w:hAnsi="Open Sans" w:cs="Open Sans"/>
                <w:b/>
                <w:bCs/>
              </w:rPr>
              <w:t>Projects Co-op</w:t>
            </w:r>
            <w:r>
              <w:rPr>
                <w:rFonts w:ascii="Open Sans" w:hAnsi="Open Sans" w:cs="Open Sans"/>
                <w:b/>
                <w:bCs/>
              </w:rPr>
              <w:t xml:space="preserve">, </w:t>
            </w:r>
            <w:r w:rsidRPr="00534A37">
              <w:rPr>
                <w:rFonts w:ascii="Open Sans" w:hAnsi="Open Sans" w:cs="Open Sans"/>
                <w:b/>
                <w:bCs/>
              </w:rPr>
              <w:t>McKenney’s, Inc., Atlanta, GA</w:t>
            </w:r>
          </w:p>
        </w:tc>
        <w:tc>
          <w:tcPr>
            <w:tcW w:w="2480" w:type="dxa"/>
          </w:tcPr>
          <w:p w14:paraId="65A65BBF" w14:textId="77777777" w:rsidR="00D960DB" w:rsidRDefault="00D960DB" w:rsidP="008076FD">
            <w:pPr>
              <w:jc w:val="right"/>
              <w:rPr>
                <w:rFonts w:ascii="Open Sans" w:hAnsi="Open Sans" w:cs="Open Sans"/>
              </w:rPr>
            </w:pPr>
            <w:r>
              <w:rPr>
                <w:rFonts w:ascii="Open Sans" w:hAnsi="Open Sans" w:cs="Open Sans"/>
              </w:rPr>
              <w:t>Jan. 2021 – Dec. 2021</w:t>
            </w:r>
          </w:p>
        </w:tc>
      </w:tr>
      <w:tr w:rsidR="00D960DB" w:rsidRPr="00840C0F" w14:paraId="35029B99" w14:textId="77777777" w:rsidTr="00D960DB">
        <w:tc>
          <w:tcPr>
            <w:tcW w:w="535" w:type="dxa"/>
          </w:tcPr>
          <w:p w14:paraId="29A64B30" w14:textId="77777777" w:rsidR="00D960DB" w:rsidRPr="00793CFF" w:rsidRDefault="00D960DB" w:rsidP="008076FD">
            <w:pPr>
              <w:rPr>
                <w:rFonts w:ascii="Open Sans" w:hAnsi="Open Sans" w:cs="Open Sans"/>
                <w:b/>
                <w:bCs/>
                <w:u w:val="single"/>
              </w:rPr>
            </w:pPr>
          </w:p>
        </w:tc>
        <w:tc>
          <w:tcPr>
            <w:tcW w:w="10497" w:type="dxa"/>
            <w:gridSpan w:val="5"/>
          </w:tcPr>
          <w:p w14:paraId="6B9F41BB" w14:textId="77777777" w:rsidR="00D960DB" w:rsidRPr="00793CFF" w:rsidRDefault="00D960DB" w:rsidP="00D960DB">
            <w:pPr>
              <w:pStyle w:val="ListParagraph"/>
              <w:numPr>
                <w:ilvl w:val="0"/>
                <w:numId w:val="2"/>
              </w:numPr>
              <w:rPr>
                <w:rFonts w:ascii="Open Sans" w:hAnsi="Open Sans" w:cs="Open Sans"/>
              </w:rPr>
            </w:pPr>
            <w:r w:rsidRPr="00793CFF">
              <w:rPr>
                <w:rFonts w:ascii="Open Sans" w:hAnsi="Open Sans" w:cs="Open Sans"/>
              </w:rPr>
              <w:t>Created a repeatable, automated process to update thousands of lines of pricing and labor data used for all the Interior and Special Projects department’s estimates.</w:t>
            </w:r>
          </w:p>
          <w:p w14:paraId="57A9A635" w14:textId="77777777" w:rsidR="00D960DB" w:rsidRPr="00793CFF" w:rsidRDefault="00D960DB" w:rsidP="00D960DB">
            <w:pPr>
              <w:pStyle w:val="ListParagraph"/>
              <w:numPr>
                <w:ilvl w:val="0"/>
                <w:numId w:val="2"/>
              </w:numPr>
              <w:rPr>
                <w:rFonts w:ascii="Open Sans" w:hAnsi="Open Sans" w:cs="Open Sans"/>
              </w:rPr>
            </w:pPr>
            <w:r w:rsidRPr="00793CFF">
              <w:rPr>
                <w:rFonts w:ascii="Open Sans" w:hAnsi="Open Sans" w:cs="Open Sans"/>
              </w:rPr>
              <w:t>Developed &amp; delivered pricing and scopes of work based on drawings, pricing data, and vendor quotes, resulting in the successful submission of over 200 bids worth up to $5,000,000.</w:t>
            </w:r>
          </w:p>
          <w:p w14:paraId="225A2216" w14:textId="77777777" w:rsidR="00D960DB" w:rsidRPr="00793CFF" w:rsidRDefault="00D960DB" w:rsidP="00D960DB">
            <w:pPr>
              <w:pStyle w:val="ListParagraph"/>
              <w:numPr>
                <w:ilvl w:val="0"/>
                <w:numId w:val="2"/>
              </w:numPr>
              <w:rPr>
                <w:rFonts w:ascii="Open Sans" w:hAnsi="Open Sans" w:cs="Open Sans"/>
              </w:rPr>
            </w:pPr>
            <w:r w:rsidRPr="00793CFF">
              <w:rPr>
                <w:rFonts w:ascii="Open Sans" w:hAnsi="Open Sans" w:cs="Open Sans"/>
              </w:rPr>
              <w:t>Coordinated projects by helping to manage general contractors, subcontractors, vendors, and foremen and to coordinate the purchase, transportation, and installation of HVAC units, pumps, heaters, plumbing fixtures, air distribution, and piping.</w:t>
            </w:r>
          </w:p>
          <w:p w14:paraId="76DA6FDE" w14:textId="77777777" w:rsidR="00D960DB" w:rsidRPr="00793CFF" w:rsidRDefault="00D960DB" w:rsidP="00D960DB">
            <w:pPr>
              <w:pStyle w:val="ListParagraph"/>
              <w:numPr>
                <w:ilvl w:val="0"/>
                <w:numId w:val="2"/>
              </w:numPr>
              <w:rPr>
                <w:rFonts w:ascii="Open Sans" w:hAnsi="Open Sans" w:cs="Open Sans"/>
              </w:rPr>
            </w:pPr>
            <w:r w:rsidRPr="00793CFF">
              <w:rPr>
                <w:rFonts w:ascii="Open Sans" w:hAnsi="Open Sans" w:cs="Open Sans"/>
              </w:rPr>
              <w:t>Assembled and managed documentation on installation, operation, maintenance, test and balance, start-up, and as-built drawings into close out documents for general contractors and building owners.</w:t>
            </w:r>
          </w:p>
        </w:tc>
      </w:tr>
      <w:tr w:rsidR="00D960DB" w:rsidRPr="005A216A" w14:paraId="19815E68" w14:textId="77777777" w:rsidTr="00D960DB">
        <w:trPr>
          <w:gridAfter w:val="1"/>
          <w:wAfter w:w="6" w:type="dxa"/>
        </w:trPr>
        <w:tc>
          <w:tcPr>
            <w:tcW w:w="535" w:type="dxa"/>
          </w:tcPr>
          <w:p w14:paraId="4018117A" w14:textId="77777777" w:rsidR="00D960DB" w:rsidRPr="005A216A" w:rsidRDefault="00D960DB" w:rsidP="008076FD">
            <w:pPr>
              <w:rPr>
                <w:rFonts w:ascii="Open Sans" w:hAnsi="Open Sans" w:cs="Open Sans"/>
                <w:b/>
                <w:bCs/>
                <w:sz w:val="6"/>
                <w:szCs w:val="6"/>
                <w:u w:val="single"/>
              </w:rPr>
            </w:pPr>
          </w:p>
        </w:tc>
        <w:tc>
          <w:tcPr>
            <w:tcW w:w="8011" w:type="dxa"/>
            <w:gridSpan w:val="3"/>
          </w:tcPr>
          <w:p w14:paraId="76634770" w14:textId="77777777" w:rsidR="00D960DB" w:rsidRPr="005A216A" w:rsidRDefault="00D960DB" w:rsidP="008076FD">
            <w:pPr>
              <w:rPr>
                <w:rFonts w:ascii="Open Sans" w:hAnsi="Open Sans" w:cs="Open Sans"/>
                <w:b/>
                <w:bCs/>
                <w:sz w:val="6"/>
                <w:szCs w:val="6"/>
              </w:rPr>
            </w:pPr>
          </w:p>
        </w:tc>
        <w:tc>
          <w:tcPr>
            <w:tcW w:w="2480" w:type="dxa"/>
          </w:tcPr>
          <w:p w14:paraId="59B896E3" w14:textId="77777777" w:rsidR="00D960DB" w:rsidRPr="005A216A" w:rsidRDefault="00D960DB" w:rsidP="008076FD">
            <w:pPr>
              <w:jc w:val="right"/>
              <w:rPr>
                <w:rFonts w:ascii="Open Sans" w:hAnsi="Open Sans" w:cs="Open Sans"/>
                <w:sz w:val="6"/>
                <w:szCs w:val="6"/>
              </w:rPr>
            </w:pPr>
          </w:p>
        </w:tc>
      </w:tr>
      <w:tr w:rsidR="00D960DB" w:rsidRPr="00840C0F" w14:paraId="396B9AB6" w14:textId="77777777" w:rsidTr="00D960DB">
        <w:trPr>
          <w:gridAfter w:val="1"/>
          <w:wAfter w:w="6" w:type="dxa"/>
        </w:trPr>
        <w:tc>
          <w:tcPr>
            <w:tcW w:w="535" w:type="dxa"/>
          </w:tcPr>
          <w:p w14:paraId="130F6A64" w14:textId="77777777" w:rsidR="00D960DB" w:rsidRPr="001B31FD" w:rsidRDefault="00D960DB" w:rsidP="008076FD">
            <w:pPr>
              <w:rPr>
                <w:rFonts w:ascii="Open Sans" w:hAnsi="Open Sans" w:cs="Open Sans"/>
                <w:b/>
                <w:bCs/>
                <w:u w:val="single"/>
              </w:rPr>
            </w:pPr>
          </w:p>
        </w:tc>
        <w:tc>
          <w:tcPr>
            <w:tcW w:w="8011" w:type="dxa"/>
            <w:gridSpan w:val="3"/>
          </w:tcPr>
          <w:p w14:paraId="5171310E" w14:textId="77777777" w:rsidR="00D960DB" w:rsidRPr="00840C0F" w:rsidRDefault="00D960DB" w:rsidP="008076FD">
            <w:pPr>
              <w:rPr>
                <w:rFonts w:ascii="Open Sans" w:hAnsi="Open Sans" w:cs="Open Sans"/>
              </w:rPr>
            </w:pPr>
            <w:r w:rsidRPr="00097922">
              <w:rPr>
                <w:rFonts w:ascii="Open Sans" w:hAnsi="Open Sans" w:cs="Open Sans"/>
                <w:b/>
                <w:bCs/>
              </w:rPr>
              <w:t>Data Analyst</w:t>
            </w:r>
            <w:r>
              <w:rPr>
                <w:rFonts w:ascii="Open Sans" w:hAnsi="Open Sans" w:cs="Open Sans"/>
                <w:b/>
                <w:bCs/>
              </w:rPr>
              <w:t xml:space="preserve"> and Reporting </w:t>
            </w:r>
            <w:r w:rsidRPr="006305BF">
              <w:rPr>
                <w:rFonts w:ascii="Open Sans" w:hAnsi="Open Sans" w:cs="Open Sans"/>
                <w:b/>
                <w:bCs/>
              </w:rPr>
              <w:t>Specialist</w:t>
            </w:r>
            <w:r>
              <w:rPr>
                <w:rFonts w:ascii="Open Sans" w:hAnsi="Open Sans" w:cs="Open Sans"/>
                <w:b/>
                <w:bCs/>
              </w:rPr>
              <w:t xml:space="preserve">, </w:t>
            </w:r>
            <w:r w:rsidRPr="006305BF">
              <w:rPr>
                <w:rFonts w:ascii="Open Sans" w:hAnsi="Open Sans" w:cs="Open Sans"/>
                <w:b/>
                <w:bCs/>
              </w:rPr>
              <w:t>Taxing Authority Consulting Services, Richmond, VA</w:t>
            </w:r>
          </w:p>
        </w:tc>
        <w:tc>
          <w:tcPr>
            <w:tcW w:w="2480" w:type="dxa"/>
          </w:tcPr>
          <w:p w14:paraId="7E73BECC" w14:textId="77777777" w:rsidR="00D960DB" w:rsidRPr="00840C0F" w:rsidRDefault="00D960DB" w:rsidP="008076FD">
            <w:pPr>
              <w:jc w:val="right"/>
              <w:rPr>
                <w:rFonts w:ascii="Open Sans" w:hAnsi="Open Sans" w:cs="Open Sans"/>
              </w:rPr>
            </w:pPr>
            <w:r>
              <w:rPr>
                <w:rFonts w:ascii="Open Sans" w:hAnsi="Open Sans" w:cs="Open Sans"/>
              </w:rPr>
              <w:t>Jun. 2020 – Aug. 2020</w:t>
            </w:r>
          </w:p>
        </w:tc>
      </w:tr>
      <w:tr w:rsidR="00D960DB" w:rsidRPr="00840C0F" w14:paraId="54E0D3C3" w14:textId="77777777" w:rsidTr="00D960DB">
        <w:tc>
          <w:tcPr>
            <w:tcW w:w="535" w:type="dxa"/>
          </w:tcPr>
          <w:p w14:paraId="701B02AB" w14:textId="77777777" w:rsidR="00D960DB" w:rsidRPr="001B31FD" w:rsidRDefault="00D960DB" w:rsidP="008076FD">
            <w:pPr>
              <w:rPr>
                <w:rFonts w:ascii="Open Sans" w:hAnsi="Open Sans" w:cs="Open Sans"/>
                <w:b/>
                <w:bCs/>
                <w:u w:val="single"/>
              </w:rPr>
            </w:pPr>
            <w:r>
              <w:rPr>
                <w:rFonts w:ascii="Open Sans" w:hAnsi="Open Sans" w:cs="Open Sans"/>
                <w:b/>
                <w:bCs/>
                <w:u w:val="single"/>
              </w:rPr>
              <w:t xml:space="preserve">                                                     </w:t>
            </w:r>
          </w:p>
        </w:tc>
        <w:tc>
          <w:tcPr>
            <w:tcW w:w="10497" w:type="dxa"/>
            <w:gridSpan w:val="5"/>
          </w:tcPr>
          <w:p w14:paraId="5742500F" w14:textId="77777777" w:rsidR="00D960DB" w:rsidRPr="00793CFF" w:rsidRDefault="00D960DB" w:rsidP="00D960DB">
            <w:pPr>
              <w:pStyle w:val="ListParagraph"/>
              <w:numPr>
                <w:ilvl w:val="0"/>
                <w:numId w:val="1"/>
              </w:numPr>
              <w:rPr>
                <w:rFonts w:ascii="Open Sans" w:hAnsi="Open Sans" w:cs="Open Sans"/>
              </w:rPr>
            </w:pPr>
            <w:r w:rsidRPr="00793CFF">
              <w:rPr>
                <w:rFonts w:ascii="Open Sans" w:hAnsi="Open Sans" w:cs="Open Sans"/>
              </w:rPr>
              <w:t>Analyzed historical data from over 500,000 accounts using Tableau and MATLAB to create predictive models for future data that will allow for better allocation of resources.</w:t>
            </w:r>
          </w:p>
          <w:p w14:paraId="260625B2" w14:textId="77777777" w:rsidR="00D960DB" w:rsidRPr="008C78EE" w:rsidRDefault="00D960DB" w:rsidP="00D960DB">
            <w:pPr>
              <w:pStyle w:val="ListParagraph"/>
              <w:numPr>
                <w:ilvl w:val="0"/>
                <w:numId w:val="1"/>
              </w:numPr>
              <w:rPr>
                <w:rFonts w:ascii="Open Sans" w:hAnsi="Open Sans" w:cs="Open Sans"/>
              </w:rPr>
            </w:pPr>
            <w:r w:rsidRPr="00793CFF">
              <w:rPr>
                <w:rFonts w:ascii="Open Sans" w:hAnsi="Open Sans" w:cs="Open Sans"/>
              </w:rPr>
              <w:t>Designed and built internal reports and updated personalized, user-friendly monthly reports for clients to assess their finances.</w:t>
            </w:r>
          </w:p>
        </w:tc>
      </w:tr>
    </w:tbl>
    <w:p w14:paraId="2E888A57" w14:textId="77777777" w:rsidR="00D960DB" w:rsidRPr="00D960DB" w:rsidRDefault="00D960DB" w:rsidP="00D960DB">
      <w:pPr>
        <w:rPr>
          <w:rFonts w:ascii="Open Sans" w:hAnsi="Open Sans" w:cs="Open Sans"/>
          <w:sz w:val="6"/>
          <w:szCs w:val="6"/>
        </w:rPr>
      </w:pPr>
    </w:p>
    <w:p w14:paraId="19402C7D" w14:textId="7E0F5DA5" w:rsidR="00D83956" w:rsidRDefault="00D960DB" w:rsidP="00D960DB">
      <w:r w:rsidRPr="00FB4B6C">
        <w:rPr>
          <w:rFonts w:ascii="Open Sans" w:hAnsi="Open Sans" w:cs="Open Sans"/>
        </w:rPr>
        <w:t>References available upon request</w:t>
      </w:r>
    </w:p>
    <w:sectPr w:rsidR="00D83956" w:rsidSect="008076FD">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A14EB"/>
    <w:multiLevelType w:val="hybridMultilevel"/>
    <w:tmpl w:val="F69448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AA90B79"/>
    <w:multiLevelType w:val="hybridMultilevel"/>
    <w:tmpl w:val="B3E6E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85527686">
    <w:abstractNumId w:val="1"/>
  </w:num>
  <w:num w:numId="2" w16cid:durableId="1262373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960DB"/>
    <w:rsid w:val="002E72B8"/>
    <w:rsid w:val="008076FD"/>
    <w:rsid w:val="0091645C"/>
    <w:rsid w:val="00CA4E2A"/>
    <w:rsid w:val="00D83956"/>
    <w:rsid w:val="00D9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AA0B"/>
  <w15:docId w15:val="{438C422D-A0F4-4205-B655-7E1CDA99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0D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0DB"/>
    <w:pPr>
      <w:ind w:left="720"/>
      <w:contextualSpacing/>
    </w:pPr>
  </w:style>
  <w:style w:type="table" w:styleId="TableGridLight">
    <w:name w:val="Grid Table Light"/>
    <w:basedOn w:val="TableNormal"/>
    <w:uiPriority w:val="40"/>
    <w:rsid w:val="00D960DB"/>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1020</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Sanz</dc:creator>
  <cp:keywords/>
  <dc:description/>
  <cp:lastModifiedBy>Noah Sanz</cp:lastModifiedBy>
  <cp:revision>1</cp:revision>
  <cp:lastPrinted>2023-06-19T17:08:00Z</cp:lastPrinted>
  <dcterms:created xsi:type="dcterms:W3CDTF">2023-06-16T19:53:00Z</dcterms:created>
  <dcterms:modified xsi:type="dcterms:W3CDTF">2023-06-26T03:35:00Z</dcterms:modified>
</cp:coreProperties>
</file>